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8D7" w:rsidRPr="00BE187E" w:rsidRDefault="00BE187E" w:rsidP="00BE187E">
      <w:pPr>
        <w:jc w:val="right"/>
        <w:rPr>
          <w:rFonts w:ascii="Times New Roman" w:hAnsi="Times New Roman" w:cs="Times New Roman"/>
          <w:sz w:val="24"/>
          <w:szCs w:val="24"/>
        </w:rPr>
      </w:pPr>
      <w:r>
        <w:t>Ф</w:t>
      </w:r>
      <w:r w:rsidR="00B358D7" w:rsidRPr="00BE187E">
        <w:rPr>
          <w:rFonts w:ascii="Times New Roman" w:hAnsi="Times New Roman" w:cs="Times New Roman"/>
          <w:sz w:val="24"/>
          <w:szCs w:val="24"/>
        </w:rPr>
        <w:t>орма 6</w:t>
      </w:r>
      <w:r w:rsidRPr="00BE187E">
        <w:rPr>
          <w:rFonts w:ascii="Times New Roman" w:hAnsi="Times New Roman" w:cs="Times New Roman"/>
          <w:sz w:val="24"/>
          <w:szCs w:val="24"/>
        </w:rPr>
        <w:t xml:space="preserve"> Приложение № 3</w:t>
      </w:r>
    </w:p>
    <w:p w:rsidR="00BE187E" w:rsidRPr="004E11CB" w:rsidRDefault="00BE187E" w:rsidP="00BE1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1CB">
        <w:rPr>
          <w:rFonts w:ascii="Times New Roman" w:hAnsi="Times New Roman" w:cs="Times New Roman"/>
          <w:b/>
          <w:sz w:val="28"/>
          <w:szCs w:val="28"/>
        </w:rPr>
        <w:t xml:space="preserve">Отчет о достигнутых значениях целевых показателей Государственной программы «Развитие сельского хозяйства Карачаево-Черкесской Республики до 2020 года» </w:t>
      </w:r>
    </w:p>
    <w:p w:rsidR="00B358D7" w:rsidRPr="004E11CB" w:rsidRDefault="00BE187E" w:rsidP="00BE18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1CB">
        <w:rPr>
          <w:rFonts w:ascii="Times New Roman" w:hAnsi="Times New Roman" w:cs="Times New Roman"/>
          <w:b/>
          <w:sz w:val="28"/>
          <w:szCs w:val="28"/>
        </w:rPr>
        <w:t>по состоянию на 01.01.2019 года</w:t>
      </w:r>
    </w:p>
    <w:p w:rsidR="00BE187E" w:rsidRPr="00BE187E" w:rsidRDefault="00BE187E" w:rsidP="00BE187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45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1760"/>
        <w:gridCol w:w="1623"/>
        <w:gridCol w:w="1720"/>
        <w:gridCol w:w="1603"/>
        <w:gridCol w:w="1515"/>
        <w:gridCol w:w="3264"/>
      </w:tblGrid>
      <w:tr w:rsidR="00E44C4A" w:rsidRPr="00E44C4A" w:rsidTr="00CC0DFA">
        <w:trPr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 целевых показателей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абсолютное отклонение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относительное отклонение, %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Обоснование отклонений значений целевого показателя на конец отчетного периода</w:t>
            </w:r>
          </w:p>
        </w:tc>
      </w:tr>
      <w:tr w:rsidR="00E44C4A" w:rsidRPr="00E44C4A" w:rsidTr="00CC0DFA">
        <w:trPr>
          <w:trHeight w:val="276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на текущий год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 на 01.01.2019г.</w:t>
            </w: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C4A" w:rsidRPr="00E44C4A" w:rsidTr="00CC0DFA">
        <w:trPr>
          <w:trHeight w:val="276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C4A" w:rsidRPr="00E44C4A" w:rsidTr="00CC0DFA">
        <w:trPr>
          <w:tblHeader/>
        </w:trPr>
        <w:tc>
          <w:tcPr>
            <w:tcW w:w="154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программа «Р</w:t>
            </w:r>
            <w:r w:rsidR="00BE187E"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азвитие</w:t>
            </w: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сельского хозяйства КЧР до 2020 года»</w:t>
            </w:r>
          </w:p>
        </w:tc>
      </w:tr>
      <w:tr w:rsidR="00E44C4A" w:rsidRPr="00E44C4A" w:rsidTr="00CC0DFA">
        <w:trPr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E44C4A" w:rsidRPr="00E44C4A" w:rsidTr="00CC0DFA">
        <w:trPr>
          <w:trHeight w:val="8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производства продукции сельского хозяйства в      хозяйствах всех категорий (в сопоставимых   ценах)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5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производства продукции растениеводства (в сопоставимых ценах)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B35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продукции растениеводства выполнен на 97,1 %. В результате чрезвычайной ситуации природного характера производства продукции растениеводства составил</w:t>
            </w:r>
            <w:r w:rsidR="00B35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12,</w:t>
            </w:r>
            <w:r w:rsidR="00B358D7"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млн.</w:t>
            </w: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рублей. На территории 3 муниципальных районов был введен режим ЧС</w:t>
            </w:r>
          </w:p>
        </w:tc>
      </w:tr>
      <w:tr w:rsidR="00E44C4A" w:rsidRPr="00E44C4A" w:rsidTr="00CC0DFA">
        <w:trPr>
          <w:trHeight w:val="18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производства продукции животноводства (в сопоставимых ценах)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Желательная динамика – положительная. Производство основных продуктов животноводства превысило прогнозные значения благодаря увеличению продуктивности (удои, привесы) и росту поголовья (коров, овец и коз)</w:t>
            </w:r>
          </w:p>
        </w:tc>
      </w:tr>
      <w:tr w:rsidR="00E44C4A" w:rsidRPr="00E44C4A" w:rsidTr="00CC0DFA">
        <w:trPr>
          <w:trHeight w:val="311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производства пищевых продуктов (в сопоставимых ценах) к предыдущему году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-27,8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72,2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невыполнение программного показателя «Индекс производства пищевых продуктов» в 2018 году повлияло слабая материально-техническая база предприятий, которая не позволяет комплексно перерабатывать исходное сырье и создавать оптимальные условия для хранения, что приводит к дополнительным потерям, снижению безопасности и качества производимой продукции, а также связано со снижением </w:t>
            </w: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покупательской способности населения, что привело к сокращению объемов по следующим видам пищевых производств: «Производство Хлебобулочных изделий, диетических и обогащенных микронутриентами» (30% к плану), «Производство масла сливочного» (15,8 % к плану), «Производство сыров и сырных продуктов» (31,3% к плану ), «Производство сахара белого свекловичного в твердом состоянии» (20,7% к плану). </w:t>
            </w:r>
          </w:p>
        </w:tc>
      </w:tr>
      <w:tr w:rsidR="00E44C4A" w:rsidRPr="00E44C4A" w:rsidTr="00CC0DFA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производства напитков (в сопоставимых ценах) к предыдущему году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предыдущему году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снижение «Индекс производства напитков» повлияло прекращение производственной деятельности в 2018 году крупного предприятия ЗАО «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Висма</w:t>
            </w:r>
            <w:proofErr w:type="spellEnd"/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 производству минеральной воды, а также снижение покупательской способности населения.</w:t>
            </w:r>
          </w:p>
        </w:tc>
      </w:tr>
      <w:tr w:rsidR="00E44C4A" w:rsidRPr="00E44C4A" w:rsidTr="00CC0DFA">
        <w:trPr>
          <w:trHeight w:val="118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сельскохозяйственных организаций (с учетом  субсидий)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160,1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Желательная динамика – положительная. </w:t>
            </w: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Фактическое значение незначительно превышает плановое</w:t>
            </w: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</w:tr>
      <w:tr w:rsidR="00E44C4A" w:rsidRPr="00E44C4A" w:rsidTr="00CC0DFA">
        <w:trPr>
          <w:trHeight w:val="1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26204,0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28 367,30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2163,3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108,3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Желательная динамика – положительная. </w:t>
            </w: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Фактическое значение незначительно превышает плановое</w:t>
            </w:r>
          </w:p>
        </w:tc>
      </w:tr>
      <w:tr w:rsidR="00E44C4A" w:rsidRPr="00E44C4A" w:rsidTr="00CC0DFA">
        <w:trPr>
          <w:trHeight w:val="12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производительности труда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% к предыдущему году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-102,3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Федеральному плану статистических  работ, срок предоставления информации за 2018 год- март 2020 года </w:t>
            </w:r>
          </w:p>
        </w:tc>
      </w:tr>
      <w:tr w:rsidR="00E44C4A" w:rsidRPr="00E44C4A" w:rsidTr="00CC0DFA">
        <w:trPr>
          <w:trHeight w:val="1545"/>
        </w:trPr>
        <w:tc>
          <w:tcPr>
            <w:tcW w:w="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высокопроизводительных рабочих мест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-189,0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Федеральному плану статистических  работ, срок предоставления информации за 2018 год- август 2019 года ( предварительные данные)</w:t>
            </w:r>
          </w:p>
        </w:tc>
      </w:tr>
      <w:tr w:rsidR="00E44C4A" w:rsidRPr="00E44C4A" w:rsidTr="00CC0DFA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Располагаемые ресурсы домашних хозяйств (в среднем на 1 члена домашнего хозяйства в месяц) в сельской местности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14970,0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15 337,00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Желательная динамика – положительная.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Фактическое значение незначительно превышает плановое</w:t>
            </w:r>
          </w:p>
        </w:tc>
      </w:tr>
      <w:tr w:rsidR="00E44C4A" w:rsidRPr="00E44C4A" w:rsidTr="00CC0DFA">
        <w:trPr>
          <w:trHeight w:val="230"/>
        </w:trPr>
        <w:tc>
          <w:tcPr>
            <w:tcW w:w="154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«Обеспечение общих условий функционирования сельскохозяйственной отрасли»</w:t>
            </w:r>
          </w:p>
        </w:tc>
      </w:tr>
      <w:tr w:rsidR="00E44C4A" w:rsidRPr="00E44C4A" w:rsidTr="00CC0DFA">
        <w:trPr>
          <w:trHeight w:val="521"/>
        </w:trPr>
        <w:tc>
          <w:tcPr>
            <w:tcW w:w="15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«Содействие развитию и стабилизации рынка сельскохозяйственной продукции, сырья и продовольствия Карачаево-Черкесской Республики на 2014-2020    годы»</w:t>
            </w:r>
          </w:p>
        </w:tc>
      </w:tr>
      <w:tr w:rsidR="00E44C4A" w:rsidRPr="00E44C4A" w:rsidTr="00CC0DFA">
        <w:trPr>
          <w:trHeight w:val="11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объектов наблюдения, в которых осуществляется мониторинг равного доступа к мерам государственной поддержки 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сельхозтоваропроизводителей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1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объектов наблюдения, в которых осуществляется мониторинг цен на сельскохозяйственную продукцию, сырье и продовольствие, поступающие на рынок Карачаево-Черкесской Республики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8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досудебного разрешения разногласий между 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сельхозто-варопроизводителями</w:t>
            </w:r>
            <w:proofErr w:type="spellEnd"/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предприятиями перерабатывающей отрасли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8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подготовленных прогнозных продовольственных балансов основных видов сельскохозяйственной продукции, сырья и продовольствия Карачаево-Черкесской Республики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510"/>
        </w:trPr>
        <w:tc>
          <w:tcPr>
            <w:tcW w:w="154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Pr="004E1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Обеспечение </w:t>
            </w: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эпизоотического и </w:t>
            </w:r>
            <w:proofErr w:type="spellStart"/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ветиринарно</w:t>
            </w:r>
            <w:proofErr w:type="spellEnd"/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-санитарного благополучия на территории Карачаево-Черкесской Республики»</w:t>
            </w:r>
          </w:p>
        </w:tc>
      </w:tr>
      <w:tr w:rsidR="00E44C4A" w:rsidRPr="00E44C4A" w:rsidTr="00CC0DFA">
        <w:trPr>
          <w:trHeight w:val="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и полнота проведения противоэпизоотических мероприятий по недопущению распространения АЧС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7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объема показателей ветеринарного обслуживания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1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снижения количества случаев 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профилактируемых</w:t>
            </w:r>
            <w:proofErr w:type="spellEnd"/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инфекций среди домашних животных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-1750,0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Желаемая тенденция показателя, чем меньше- тем лучше, 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благодоря</w:t>
            </w:r>
            <w:proofErr w:type="spellEnd"/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своевременной вакцинаций домашних животных</w:t>
            </w:r>
          </w:p>
        </w:tc>
      </w:tr>
      <w:tr w:rsidR="00E44C4A" w:rsidRPr="00E44C4A" w:rsidTr="00CC0DFA">
        <w:trPr>
          <w:trHeight w:val="420"/>
        </w:trPr>
        <w:tc>
          <w:tcPr>
            <w:tcW w:w="15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Подпрограмма «Техническая и технологическая модернизация, инновационное развитие»</w:t>
            </w:r>
          </w:p>
        </w:tc>
      </w:tr>
      <w:tr w:rsidR="00E44C4A" w:rsidRPr="00E44C4A" w:rsidTr="00CC0DFA">
        <w:trPr>
          <w:trHeight w:val="465"/>
        </w:trPr>
        <w:tc>
          <w:tcPr>
            <w:tcW w:w="154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приобретения новой техники</w:t>
            </w:r>
          </w:p>
        </w:tc>
      </w:tr>
      <w:tr w:rsidR="00E44C4A" w:rsidRPr="00E44C4A" w:rsidTr="00CC0DFA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Тракторы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Зерноуборочные комбайны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Желательная динамика – положительная. </w:t>
            </w:r>
          </w:p>
        </w:tc>
      </w:tr>
      <w:tr w:rsidR="00E44C4A" w:rsidRPr="00E44C4A" w:rsidTr="00CC0DFA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применения биологических средств защиты растений и микробиологических удобрений в растениеводстве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2010 году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-24,4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Недостаток средств производителей</w:t>
            </w:r>
          </w:p>
        </w:tc>
      </w:tr>
      <w:tr w:rsidR="00E44C4A" w:rsidRPr="00E44C4A" w:rsidTr="00CC0DFA">
        <w:trPr>
          <w:trHeight w:val="435"/>
        </w:trPr>
        <w:tc>
          <w:tcPr>
            <w:tcW w:w="154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«Обеспечение реализации государственной программы «Развитие сельского хозяйства Карачаево-Черкесской республики до 2020 года»</w:t>
            </w:r>
          </w:p>
        </w:tc>
      </w:tr>
      <w:tr w:rsidR="00E44C4A" w:rsidRPr="00E44C4A" w:rsidTr="00CC0DFA">
        <w:trPr>
          <w:trHeight w:val="9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существующего уровня участия Карачаево-Черкесской Республики в реализации Государственной программы (наличие региональной программы развития сельского хозяйства и регулирования рынков сырья и продовольствия)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345"/>
        </w:trPr>
        <w:tc>
          <w:tcPr>
            <w:tcW w:w="154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«Устойчивое развитие сельских территорий Карачаево-Черкесской Республики до 2020 года»</w:t>
            </w:r>
          </w:p>
        </w:tc>
      </w:tr>
      <w:tr w:rsidR="00E44C4A" w:rsidRPr="00E44C4A" w:rsidTr="00CC0DFA">
        <w:trPr>
          <w:trHeight w:val="9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(приобретение) жилья для граждан, проживающих в сельской местности, всего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1,351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3,60525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266,9</w:t>
            </w: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положительная. Индикатив перевыполнен за счет строительства (приобретения) жилья получателями социальной выплаты, по площади превышающей нормативную за счет дополнительного привлечения внебюджетных источников</w:t>
            </w:r>
          </w:p>
        </w:tc>
      </w:tr>
      <w:tr w:rsidR="00E44C4A" w:rsidRPr="00E44C4A" w:rsidTr="00CC0DFA">
        <w:trPr>
          <w:trHeight w:val="14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для молодых семей и молодых специалистов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2,5039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326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4C4A" w:rsidRPr="00E44C4A" w:rsidTr="00CC0DFA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действие общеобразовательных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мест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8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Открытие фельдшерско-акушерских пунктов и/или офисов врачей общей практики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действие плоскостных спортивных сооружений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кв. м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6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учреждений культурно-досугового типа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мест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действие распределительных газовых сетей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Желательная динамика – положительная.</w:t>
            </w: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счет экономии бюджетных средств на аукционах по выбору подрядчика, введены дополнительные объекты газораспределительных сетей</w:t>
            </w:r>
          </w:p>
        </w:tc>
      </w:tr>
      <w:tr w:rsidR="00E44C4A" w:rsidRPr="00E44C4A" w:rsidTr="00CC0DFA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газификации домов (квартир) сетевым газом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Желательная динамика – положительная</w:t>
            </w:r>
          </w:p>
        </w:tc>
      </w:tr>
      <w:tr w:rsidR="00E44C4A" w:rsidRPr="00E44C4A" w:rsidTr="00CC0DFA">
        <w:trPr>
          <w:trHeight w:val="16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действие локальных водопроводов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Желательная динамика – положительная.</w:t>
            </w: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 счет экономии бюджетных средств на аукционах по выбору подрядчика, введены дополнительные объекты водопровода.</w:t>
            </w:r>
          </w:p>
        </w:tc>
      </w:tr>
      <w:tr w:rsidR="00E44C4A" w:rsidRPr="00E44C4A" w:rsidTr="00CC0DFA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обеспеченности сельского населения питьевой водой</w:t>
            </w:r>
          </w:p>
          <w:p w:rsidR="004E11CB" w:rsidRPr="00E44C4A" w:rsidRDefault="004E11CB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14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1CB" w:rsidRDefault="004E11CB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  <w:p w:rsidR="004E11CB" w:rsidRPr="00E44C4A" w:rsidRDefault="004E11CB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км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0,002379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0,002379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360"/>
        </w:trPr>
        <w:tc>
          <w:tcPr>
            <w:tcW w:w="154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«Развитие мелиорации земель сельскохозяйственного назначения Карачаево-Черкесской Республики до 2020 года»</w:t>
            </w:r>
          </w:p>
        </w:tc>
      </w:tr>
      <w:tr w:rsidR="00E44C4A" w:rsidRPr="00E44C4A" w:rsidTr="00CC0DFA">
        <w:trPr>
          <w:trHeight w:val="13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</w:p>
          <w:p w:rsidR="004E11CB" w:rsidRPr="00E44C4A" w:rsidRDefault="004E11CB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га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Необходимая степень решения задачи и достижения цели обеспечена</w:t>
            </w:r>
          </w:p>
        </w:tc>
      </w:tr>
      <w:tr w:rsidR="00E44C4A" w:rsidRPr="00E44C4A" w:rsidTr="00CC0DFA">
        <w:trPr>
          <w:trHeight w:val="465"/>
        </w:trPr>
        <w:tc>
          <w:tcPr>
            <w:tcW w:w="154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Подпрограмма «Развитие </w:t>
            </w:r>
            <w:proofErr w:type="spellStart"/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подотраслей</w:t>
            </w:r>
            <w:proofErr w:type="spellEnd"/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агропромышленного комплекса»</w:t>
            </w:r>
          </w:p>
        </w:tc>
      </w:tr>
      <w:tr w:rsidR="00E44C4A" w:rsidRPr="00E44C4A" w:rsidTr="00CC0DFA">
        <w:trPr>
          <w:trHeight w:val="18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Валовой сбор зерновых и зернобобовых культур в хозяйствах всех категорий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437,9205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Желательная динамика – положительная.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Посадка районированных и перспективных сортов, а также сказалось увеличение объемов внесения минеральных удобрений дало хороший урожай.</w:t>
            </w:r>
          </w:p>
        </w:tc>
      </w:tr>
      <w:tr w:rsidR="00E44C4A" w:rsidRPr="00E44C4A" w:rsidTr="00CC0DFA">
        <w:trPr>
          <w:trHeight w:val="2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Валовой сбор сахарной свекла в хозяйствах всех категорий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110,4138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Желательная динамика – положительная.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Плановый показатель 110,0 тыс. тонн был пересчитан и закреплен в Соглашении с Минсельхозом России на 2018г.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E44C4A" w:rsidRPr="00E44C4A" w:rsidTr="00CC0DFA">
        <w:trPr>
          <w:trHeight w:val="20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Валовый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24,155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 выполнен на 87,8 % , на невыполнение показателя повлияло ЧС 2018 года .Плановый показатель- 27,5 тыс. тонн был пересчитан  и закреплен в Соглашении с Минсельхозом России на 2018г.</w:t>
            </w:r>
          </w:p>
        </w:tc>
      </w:tr>
      <w:tr w:rsidR="00E44C4A" w:rsidRPr="00E44C4A" w:rsidTr="00CC0DFA">
        <w:trPr>
          <w:trHeight w:val="15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Валовый сбор овощей открытого грунта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Желательная динамика – положительная.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Плановый показатель 5,2 тыс. тонн был пересчитан  и закреплен в Соглашении с Минсельхозом России на 2018г.</w:t>
            </w:r>
          </w:p>
        </w:tc>
      </w:tr>
      <w:tr w:rsidR="00E44C4A" w:rsidRPr="00E44C4A" w:rsidTr="00CC0DFA">
        <w:trPr>
          <w:trHeight w:val="1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Желательная динамика – положительная.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Специфика сельскохозяйственного производства.</w:t>
            </w:r>
          </w:p>
        </w:tc>
      </w:tr>
      <w:tr w:rsidR="00E44C4A" w:rsidRPr="00E44C4A" w:rsidTr="00CC0DFA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Валовой сбор плодов и ягод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Желательная динамика – положительная. </w:t>
            </w:r>
          </w:p>
        </w:tc>
      </w:tr>
      <w:tr w:rsidR="00E44C4A" w:rsidRPr="00E44C4A" w:rsidTr="00CC0DFA">
        <w:trPr>
          <w:trHeight w:val="29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51,969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Индикатор выполнен на 92,5 </w:t>
            </w:r>
            <w:proofErr w:type="gramStart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 к</w:t>
            </w:r>
            <w:proofErr w:type="gramEnd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 в связи с тем, что недополучено более 4,0 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тонн мяса в последствии с несоблюдением технологии содержания специализированного мясного скота, не проведением соответствующего откорма скота молочных пород, и, следовательно, убоем скота при недостаточных убойных кондициях. Тем не 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менне</w:t>
            </w:r>
            <w:proofErr w:type="spellEnd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следует 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отместить</w:t>
            </w:r>
            <w:proofErr w:type="spellEnd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индикатор по отношению к 2017 году выполнен на 103,3%.</w:t>
            </w:r>
          </w:p>
        </w:tc>
      </w:tr>
      <w:tr w:rsidR="00E44C4A" w:rsidRPr="00E44C4A" w:rsidTr="00CC0DFA">
        <w:trPr>
          <w:trHeight w:val="69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молока в хозяйствах всех категорий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-34,8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производство молока в хозяйствах всех категорий  повлияло снижение поголовья в 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сельхозорганизациях</w:t>
            </w:r>
            <w:proofErr w:type="spellEnd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2 529,0 тыс. голов) и в отдельных крестьянско-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(фермерских) хозяйствах (на 1600,0 тыс. голов)</w:t>
            </w:r>
          </w:p>
        </w:tc>
      </w:tr>
      <w:tr w:rsidR="00E44C4A" w:rsidRPr="00E44C4A" w:rsidTr="00CC0DFA">
        <w:trPr>
          <w:trHeight w:val="170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Продуктивность коров в отчетном году  больше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 за аналогичный период прошлого года</w:t>
            </w:r>
          </w:p>
        </w:tc>
      </w:tr>
      <w:tr w:rsidR="00E44C4A" w:rsidRPr="00E44C4A" w:rsidTr="00CC0DFA">
        <w:trPr>
          <w:trHeight w:val="231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18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посевных площадей, занятых под зерновыми, зернобобовыми и кормовыми сельскохозяйственными культурами, в субъектах Российской Федерации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гектаров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Желательная динамика – положительная.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Фактическое значение  удалось незначительно превысить от  планового по путем чередования культур в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севообороте, а также за счет сокращения посевных площадей, занятых техническими культурами</w:t>
            </w:r>
          </w:p>
        </w:tc>
      </w:tr>
      <w:tr w:rsidR="00E44C4A" w:rsidRPr="00E44C4A" w:rsidTr="00CC0DFA">
        <w:trPr>
          <w:trHeight w:val="5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закладки многолетних  плодовых и ягодных насаждений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значение не отклоняется от планового</w:t>
            </w:r>
          </w:p>
        </w:tc>
      </w:tr>
      <w:tr w:rsidR="00E44C4A" w:rsidRPr="00E44C4A" w:rsidTr="00CC0DFA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новых и модернизированных площадей зимних теплиц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мероприятия в 2018 году программой не предусмотрено</w:t>
            </w:r>
          </w:p>
        </w:tc>
      </w:tr>
      <w:tr w:rsidR="00E44C4A" w:rsidRPr="00E44C4A" w:rsidTr="00CC0DFA">
        <w:trPr>
          <w:trHeight w:val="6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площади, засеваемой элитными семенами, в общей площади посевов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значение не отклоняется от планового</w:t>
            </w:r>
          </w:p>
        </w:tc>
      </w:tr>
      <w:tr w:rsidR="00E44C4A" w:rsidRPr="00E44C4A" w:rsidTr="00CC0DFA">
        <w:trPr>
          <w:trHeight w:val="9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Поголовье крупного рогатого скота специализированных мясных пород и помесного скота, полученного от скрещивания со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 голов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68,45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9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товарного поголовья коров специализированных мясных пород в 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сельскохо-зяйственных</w:t>
            </w:r>
            <w:proofErr w:type="spellEnd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голов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32,827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голов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942,806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18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Племенное условное маточное поголовье сельскохозяйственных животных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 условных голов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поддержки за счёт средств федерального и республиканского бюджетов сельскохозяйственных товаропроизводителей оказало стимулирующий эффект на прирост </w:t>
            </w:r>
          </w:p>
        </w:tc>
      </w:tr>
      <w:tr w:rsidR="00E44C4A" w:rsidRPr="00E44C4A" w:rsidTr="00CC0DFA">
        <w:trPr>
          <w:trHeight w:val="6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племенного молодняка крупного рогатого скота молочных и мясных пород на 100 голов маток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263,3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</w:t>
            </w:r>
          </w:p>
        </w:tc>
      </w:tr>
      <w:tr w:rsidR="00E44C4A" w:rsidRPr="00E44C4A" w:rsidTr="00CC0DFA">
        <w:trPr>
          <w:trHeight w:val="6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Сохранность племенного условного маточного поголовья сельскохозяйственных животных к уровню предыдущего года,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значение не отклоняется от планового</w:t>
            </w:r>
          </w:p>
        </w:tc>
      </w:tr>
      <w:tr w:rsidR="00E44C4A" w:rsidRPr="00E44C4A" w:rsidTr="00CC0DFA">
        <w:trPr>
          <w:trHeight w:val="13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сахара белого свекловичного в твердом состоянии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-31,7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невыполнение плана повлияло сокращение площади посевов сахарной свёклы под влиянием факторов отсутствия роста внутреннего российского рынка сахара</w:t>
            </w:r>
          </w:p>
        </w:tc>
      </w:tr>
      <w:tr w:rsidR="00E44C4A" w:rsidRPr="00E44C4A" w:rsidTr="00CC0DFA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Хлебобулочных изделий, диетических и обогащенных микронутриентами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Причиной невыполнения целевого показателя по производству хлебобулочных изделий, диетических и обогащенных микронутриентами стало значительное снижение покупательского спроса на данный вид продукции и переориентации предпочтений к традиционным видам хлеба и хлебобулочным изделиям</w:t>
            </w:r>
          </w:p>
        </w:tc>
      </w:tr>
      <w:tr w:rsidR="00E44C4A" w:rsidRPr="00E44C4A" w:rsidTr="00CC0DFA">
        <w:trPr>
          <w:trHeight w:val="36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масла сливочного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невыполнение целевого показателя повлияло слабая материально-техническая база предприятий, которая не позволяет комплексно перерабатывать исходное сырье и создавать оптимальные условия для хранения, что приводит к дополнительным потерям, снижению безопасности и качества, а также снижение покупательского спроса у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 в связи с тем, что предпочтение отдают маслу и топленному маслу, изготовленному в домашних условиях сельским населением республики</w:t>
            </w:r>
          </w:p>
        </w:tc>
      </w:tr>
      <w:tr w:rsidR="00E44C4A" w:rsidRPr="00E44C4A" w:rsidTr="00CC0DFA">
        <w:trPr>
          <w:trHeight w:val="3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сыров и сырных продуктов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невыполнение целевого показателя повлияло слабая материально-техническая база предприятий которая не позволяет комплексно перерабатывать исходное сырье и создавать оптимальные условия для хранения, что приводит к дополнительным потерям, снижению безопасности и качества, а также снижение покупательского спроса у </w:t>
            </w: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  в связи с тем, что предпочтение отдают сырам местного производства, изготовленным в домашних условиях сельским населением республики</w:t>
            </w:r>
          </w:p>
        </w:tc>
      </w:tr>
      <w:tr w:rsidR="00E44C4A" w:rsidRPr="00E44C4A" w:rsidTr="00CC0DFA">
        <w:trPr>
          <w:trHeight w:val="6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государственной поддержки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21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 объема сельскохозяйственной продукции, произведенной крестьянскими (фермерскими) хозяйствами, получившими   государственную поддержку (по отношению к предыдущему году)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16,14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поддержки за счёт средств федерального и республиканского бюджетов сельскохозяйственных товаропроизводителей оказало стимулирующий эффект на прирост произведенной индивидуальными предпринимателями и крестьянскими (фермерскими) хозяйствами за 2018 год </w:t>
            </w:r>
          </w:p>
        </w:tc>
      </w:tr>
      <w:tr w:rsidR="00E44C4A" w:rsidRPr="00E44C4A" w:rsidTr="00CC0DFA">
        <w:trPr>
          <w:trHeight w:val="9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новых постоянных рабочих мест, созданных в сельскохозяйственных потребительских кооперативах, получивших государственную поддержку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357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Прирост объема 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сельскохозяйственой</w:t>
            </w:r>
            <w:proofErr w:type="spellEnd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продукции, реализованной сельскохозяйственными потребительскими кооперативами, получившими  государственную поддержку ( по отношению к предыдущему году)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1380,5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поддержки за счёт средств федерального и республиканского бюджетов сельскохозяйственных товаропроизводителей оказало стимулирующий эффект на прирост произведенной сельскохозяйственными потребительскими кооперативами, получившими  государственную поддержку за 2018 год </w:t>
            </w:r>
          </w:p>
        </w:tc>
      </w:tr>
      <w:tr w:rsidR="00E44C4A" w:rsidRPr="00E44C4A" w:rsidTr="00CC0DFA">
        <w:trPr>
          <w:trHeight w:val="4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произведенных семян кукурузы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</w:t>
            </w:r>
            <w:bookmarkStart w:id="0" w:name="_GoBack"/>
            <w:bookmarkEnd w:id="0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ожительная.</w:t>
            </w:r>
          </w:p>
        </w:tc>
      </w:tr>
      <w:tr w:rsidR="00E44C4A" w:rsidRPr="00E44C4A" w:rsidTr="00CC0DFA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реализованных семян кукурузы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5998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4E11CB" w:rsidTr="00CC0DFA">
        <w:trPr>
          <w:trHeight w:val="405"/>
        </w:trPr>
        <w:tc>
          <w:tcPr>
            <w:tcW w:w="154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4C4A" w:rsidRPr="004E11CB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11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«Стимулирование инвестиционной деятельности в агропромышленном комплексе»</w:t>
            </w:r>
          </w:p>
        </w:tc>
      </w:tr>
      <w:tr w:rsidR="00E44C4A" w:rsidRPr="00E44C4A" w:rsidTr="00CC0DFA">
        <w:trPr>
          <w:trHeight w:val="11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действие построенных и модернизированных мощностей по хранению плодов, ягод, картофеля и овощей открытого грунта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запланировано </w:t>
            </w:r>
          </w:p>
        </w:tc>
      </w:tr>
      <w:tr w:rsidR="00E44C4A" w:rsidRPr="00E44C4A" w:rsidTr="00CC0DFA">
        <w:trPr>
          <w:trHeight w:val="8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действие мощностей единовременного хранения оптово-распределительных центров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запланировано </w:t>
            </w:r>
          </w:p>
        </w:tc>
      </w:tr>
      <w:tr w:rsidR="00E44C4A" w:rsidRPr="00E44C4A" w:rsidTr="00CC0DFA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действие построенных и модернизированных площадей теплиц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запланировано </w:t>
            </w:r>
          </w:p>
        </w:tc>
      </w:tr>
      <w:tr w:rsidR="00E44C4A" w:rsidRPr="00E44C4A" w:rsidTr="00CC0DFA">
        <w:trPr>
          <w:trHeight w:val="109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скотомест на строящихся, модернизируемых и введенных в эксплуатацию животноводческих комплексах молочного направления (молочных фермах)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единиц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0,875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Желательная динамика – положительная.</w:t>
            </w:r>
          </w:p>
        </w:tc>
      </w:tr>
      <w:tr w:rsidR="00E44C4A" w:rsidRPr="00E44C4A" w:rsidTr="00CC0DFA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 в действие построенных и модернизированных мощностей </w:t>
            </w:r>
            <w:proofErr w:type="spellStart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селекционно</w:t>
            </w:r>
            <w:proofErr w:type="spellEnd"/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-семеноводческих центров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C4A" w:rsidRPr="00E44C4A" w:rsidRDefault="00E44C4A" w:rsidP="00E44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C4A" w:rsidRPr="00E44C4A" w:rsidRDefault="00E44C4A" w:rsidP="00E44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4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запланировано </w:t>
            </w:r>
          </w:p>
        </w:tc>
      </w:tr>
    </w:tbl>
    <w:p w:rsidR="00D6460C" w:rsidRDefault="00D6460C"/>
    <w:p w:rsidR="004E11CB" w:rsidRPr="00452112" w:rsidRDefault="00452112" w:rsidP="004E11CB">
      <w:pPr>
        <w:rPr>
          <w:rFonts w:ascii="Times New Roman" w:hAnsi="Times New Roman" w:cs="Times New Roman"/>
        </w:rPr>
      </w:pPr>
      <w:r w:rsidRPr="00452112">
        <w:rPr>
          <w:rFonts w:ascii="Times New Roman" w:hAnsi="Times New Roman" w:cs="Times New Roman"/>
          <w:sz w:val="28"/>
          <w:szCs w:val="28"/>
        </w:rPr>
        <w:t xml:space="preserve">Министр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Pr="00452112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Pr="00452112">
        <w:rPr>
          <w:rFonts w:ascii="Times New Roman" w:hAnsi="Times New Roman" w:cs="Times New Roman"/>
          <w:sz w:val="28"/>
          <w:szCs w:val="28"/>
        </w:rPr>
        <w:t>Боташев</w:t>
      </w:r>
      <w:proofErr w:type="spellEnd"/>
    </w:p>
    <w:p w:rsidR="00452112" w:rsidRDefault="00452112" w:rsidP="004E11CB">
      <w:pPr>
        <w:rPr>
          <w:rFonts w:ascii="Times New Roman" w:hAnsi="Times New Roman" w:cs="Times New Roman"/>
        </w:rPr>
      </w:pPr>
    </w:p>
    <w:p w:rsidR="004E11CB" w:rsidRPr="00452112" w:rsidRDefault="004E11CB" w:rsidP="004E11CB">
      <w:pPr>
        <w:rPr>
          <w:rFonts w:ascii="Times New Roman" w:hAnsi="Times New Roman" w:cs="Times New Roman"/>
          <w:sz w:val="20"/>
          <w:szCs w:val="20"/>
        </w:rPr>
      </w:pPr>
      <w:r w:rsidRPr="00452112">
        <w:rPr>
          <w:rFonts w:ascii="Times New Roman" w:hAnsi="Times New Roman" w:cs="Times New Roman"/>
          <w:sz w:val="20"/>
          <w:szCs w:val="20"/>
        </w:rPr>
        <w:t>Кубанова Е.Д. 22-04-68</w:t>
      </w:r>
    </w:p>
    <w:sectPr w:rsidR="004E11CB" w:rsidRPr="00452112" w:rsidSect="00E44C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C4A"/>
    <w:rsid w:val="00452112"/>
    <w:rsid w:val="004E11CB"/>
    <w:rsid w:val="00B358D7"/>
    <w:rsid w:val="00BE187E"/>
    <w:rsid w:val="00CC0DFA"/>
    <w:rsid w:val="00D6460C"/>
    <w:rsid w:val="00E4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ED5B"/>
  <w15:chartTrackingRefBased/>
  <w15:docId w15:val="{F5EAF99F-3A78-48BF-B7D3-D7075A4EB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11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1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B38EB-3EA9-4743-ABDD-D3D69A6C8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23</Pages>
  <Words>2870</Words>
  <Characters>16364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4</cp:revision>
  <cp:lastPrinted>2019-04-02T06:49:00Z</cp:lastPrinted>
  <dcterms:created xsi:type="dcterms:W3CDTF">2019-03-28T15:00:00Z</dcterms:created>
  <dcterms:modified xsi:type="dcterms:W3CDTF">2019-04-02T06:51:00Z</dcterms:modified>
</cp:coreProperties>
</file>